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Student’s Name </w:t>
      </w:r>
    </w:p>
    <w:p>
      <w:pPr>
        <w:pStyle w:val="style0"/>
        <w:spacing w:after="0"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Professor’s Name </w:t>
      </w:r>
    </w:p>
    <w:p>
      <w:pPr>
        <w:pStyle w:val="style0"/>
        <w:spacing w:after="0"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Course </w:t>
      </w:r>
      <w:r>
        <w:rPr>
          <w:rFonts w:ascii="Times New Roman" w:cs="Times New Roman" w:hAnsi="Times New Roman"/>
          <w:color w:val="222222"/>
          <w:sz w:val="24"/>
          <w:szCs w:val="24"/>
          <w:shd w:val="clear" w:color="auto" w:fill="ffffff"/>
        </w:rPr>
        <w:br/>
      </w:r>
      <w:r>
        <w:rPr>
          <w:rFonts w:ascii="Times New Roman" w:cs="Times New Roman" w:hAnsi="Times New Roman"/>
          <w:color w:val="222222"/>
          <w:sz w:val="24"/>
          <w:szCs w:val="24"/>
          <w:shd w:val="clear" w:color="auto" w:fill="ffffff"/>
        </w:rPr>
        <w:t xml:space="preserve">Date </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Poem </w:t>
      </w:r>
      <w:r>
        <w:rPr>
          <w:rFonts w:ascii="Times New Roman" w:cs="Times New Roman" w:hAnsi="Times New Roman"/>
          <w:i/>
          <w:color w:val="222222"/>
          <w:sz w:val="24"/>
          <w:szCs w:val="24"/>
          <w:shd w:val="clear" w:color="auto" w:fill="ffffff"/>
        </w:rPr>
        <w:t>The</w:t>
      </w:r>
      <w:r>
        <w:rPr>
          <w:rFonts w:ascii="Times New Roman" w:cs="Times New Roman" w:hAnsi="Times New Roman"/>
          <w:i/>
          <w:color w:val="222222"/>
          <w:sz w:val="24"/>
          <w:szCs w:val="24"/>
          <w:shd w:val="clear" w:color="auto" w:fill="ffffff"/>
        </w:rPr>
        <w:t xml:space="preserve"> Lady of </w:t>
      </w:r>
      <w:r>
        <w:rPr>
          <w:rFonts w:ascii="Times New Roman" w:cs="Times New Roman" w:hAnsi="Times New Roman"/>
          <w:i/>
          <w:color w:val="222222"/>
          <w:sz w:val="24"/>
          <w:szCs w:val="24"/>
          <w:shd w:val="clear" w:color="auto" w:fill="ffffff"/>
        </w:rPr>
        <w:t>Shalott</w:t>
      </w:r>
      <w:r>
        <w:rPr>
          <w:rFonts w:ascii="Times New Roman" w:cs="Times New Roman" w:hAnsi="Times New Roman"/>
          <w:color w:val="222222"/>
          <w:sz w:val="24"/>
          <w:szCs w:val="24"/>
          <w:shd w:val="clear" w:color="auto" w:fill="ffffff"/>
        </w:rPr>
        <w:t xml:space="preserve"> by Alfred Tennyson</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Mercier, Angela. "She Has a Lovely Face": </w:t>
      </w:r>
      <w:r>
        <w:rPr>
          <w:rFonts w:ascii="Times New Roman" w:cs="Times New Roman" w:hAnsi="Times New Roman"/>
          <w:color w:val="222222"/>
          <w:sz w:val="24"/>
          <w:szCs w:val="24"/>
          <w:shd w:val="clear" w:color="auto" w:fill="ffffff"/>
        </w:rPr>
        <w:t>Performative</w:t>
      </w:r>
      <w:r>
        <w:rPr>
          <w:rFonts w:ascii="Times New Roman" w:cs="Times New Roman" w:hAnsi="Times New Roman"/>
          <w:color w:val="222222"/>
          <w:sz w:val="24"/>
          <w:szCs w:val="24"/>
          <w:shd w:val="clear" w:color="auto" w:fill="ffffff"/>
        </w:rPr>
        <w:t xml:space="preserve"> Female Death and the Lady of </w:t>
      </w:r>
      <w:r>
        <w:rPr>
          <w:rFonts w:ascii="Times New Roman" w:cs="Times New Roman" w:hAnsi="Times New Roman"/>
          <w:color w:val="222222"/>
          <w:sz w:val="24"/>
          <w:szCs w:val="24"/>
          <w:shd w:val="clear" w:color="auto" w:fill="ffffff"/>
        </w:rPr>
        <w:t>Shalott</w:t>
      </w:r>
      <w:r>
        <w:rPr>
          <w:rFonts w:ascii="Times New Roman" w:cs="Times New Roman" w:hAnsi="Times New Roman"/>
          <w:color w:val="222222"/>
          <w:sz w:val="24"/>
          <w:szCs w:val="24"/>
          <w:shd w:val="clear" w:color="auto" w:fill="ffffff"/>
        </w:rPr>
        <w:t xml:space="preserve">." (2012). Accessed from </w:t>
      </w:r>
      <w:r>
        <w:rPr/>
        <w:fldChar w:fldCharType="begin"/>
      </w:r>
      <w:r>
        <w:instrText xml:space="preserve"> HYPERLINK "https://epublications.regis.edu/cgi/viewcontent.cgi?article=1574&amp;context=theses" </w:instrText>
      </w:r>
      <w:r>
        <w:rPr/>
        <w:fldChar w:fldCharType="separate"/>
      </w:r>
      <w:r>
        <w:rPr>
          <w:rStyle w:val="style85"/>
          <w:rFonts w:ascii="Times New Roman" w:cs="Times New Roman" w:hAnsi="Times New Roman"/>
          <w:sz w:val="24"/>
          <w:szCs w:val="24"/>
          <w:shd w:val="clear" w:color="auto" w:fill="ffffff"/>
        </w:rPr>
        <w:t>https://epublications.regis.edu/cgi/viewcontent.cgi?article=1574&amp;context=theses</w:t>
      </w:r>
      <w:r>
        <w:rPr/>
        <w:fldChar w:fldCharType="end"/>
      </w:r>
      <w:r>
        <w:rPr>
          <w:rFonts w:ascii="Times New Roman" w:cs="Times New Roman" w:hAnsi="Times New Roman"/>
          <w:color w:val="222222"/>
          <w:sz w:val="24"/>
          <w:szCs w:val="24"/>
          <w:shd w:val="clear" w:color="auto" w:fill="ffffff"/>
        </w:rPr>
        <w:t xml:space="preserve"> </w:t>
      </w:r>
    </w:p>
    <w:p>
      <w:pPr>
        <w:pStyle w:val="style94"/>
        <w:spacing w:before="0" w:beforeAutospacing="false" w:after="0" w:afterAutospacing="false" w:lineRule="auto" w:line="480"/>
        <w:rPr>
          <w:b/>
          <w:color w:val="0e101a"/>
        </w:rPr>
      </w:pPr>
      <w:r>
        <w:rPr>
          <w:b/>
          <w:color w:val="0e101a"/>
        </w:rPr>
        <w:t>Summary</w:t>
      </w:r>
    </w:p>
    <w:p>
      <w:pPr>
        <w:pStyle w:val="style94"/>
        <w:spacing w:before="0" w:beforeAutospacing="false" w:after="0" w:afterAutospacing="false" w:lineRule="auto" w:line="480"/>
        <w:ind w:firstLine="720"/>
        <w:rPr>
          <w:color w:val="0e101a"/>
        </w:rPr>
      </w:pPr>
      <w:r>
        <w:rPr>
          <w:color w:val="0e101a"/>
        </w:rPr>
        <w:t>This article examines how gender issues have been portrayed in the poem </w:t>
      </w:r>
      <w:r>
        <w:rPr>
          <w:rStyle w:val="style88"/>
          <w:color w:val="0e101a"/>
        </w:rPr>
        <w:t xml:space="preserve">The Lady of </w:t>
      </w:r>
      <w:r>
        <w:rPr>
          <w:rStyle w:val="style88"/>
          <w:color w:val="0e101a"/>
        </w:rPr>
        <w:t>Shalott</w:t>
      </w:r>
      <w:r>
        <w:rPr>
          <w:color w:val="0e101a"/>
        </w:rPr>
        <w:t>. The article begins with theoretical considerations of the death of the lady in the poem. The author argues that, from a theoretical perspective, the death of the Lady is a performance that is informed by her gender. The article goes ahead to examine the gender perspective in the Victorian context while highlighting how the two elements of performance of this period inform the Lady’s death in the poem. The two elements include how one performs and the repetition of the performance, which according to this article, informs one’s gender. As such, the article suggests that it is impossible to analyze this poem without looking at the performance, especially how one performs the gender and how that performance changes within a period of time (Mercier 6). The article further examines how theoretical concepts from the Victorian age can help analyze and understand this poem. Based on concepts from various scholars who wrote about the Victorian age, this article highlights how Victorian society perceived both male and female genders.</w:t>
      </w:r>
    </w:p>
    <w:p>
      <w:pPr>
        <w:pStyle w:val="style94"/>
        <w:spacing w:before="0" w:beforeAutospacing="false" w:after="0" w:afterAutospacing="false" w:lineRule="auto" w:line="480"/>
        <w:ind w:firstLine="720"/>
        <w:rPr>
          <w:color w:val="0e101a"/>
        </w:rPr>
      </w:pPr>
      <w:r>
        <w:rPr>
          <w:color w:val="0e101a"/>
        </w:rPr>
        <w:t>The article also provides a textual analysis of the poem </w:t>
      </w:r>
      <w:r>
        <w:rPr>
          <w:rStyle w:val="style88"/>
          <w:color w:val="0e101a"/>
        </w:rPr>
        <w:t xml:space="preserve">The Lady of </w:t>
      </w:r>
      <w:r>
        <w:rPr>
          <w:rStyle w:val="style88"/>
          <w:color w:val="0e101a"/>
        </w:rPr>
        <w:t>Shalott</w:t>
      </w:r>
      <w:r>
        <w:rPr>
          <w:color w:val="0e101a"/>
        </w:rPr>
        <w:t>, highlighting its connection with the Arthurian legend. The author analyzes the poem step by step and stanza by stanza while also connecting it with Victorian performance and gender perception. Mercier analyzes the performance in the poem and how they reveal the actions of the Lady in the poem. The textual analysis also reveals the Lady’s restrictions and her battle to attain freedom.</w:t>
      </w:r>
    </w:p>
    <w:p>
      <w:pPr>
        <w:pStyle w:val="style94"/>
        <w:spacing w:before="0" w:beforeAutospacing="false" w:after="0" w:afterAutospacing="false" w:lineRule="auto" w:line="480"/>
        <w:rPr>
          <w:b/>
          <w:color w:val="0e101a"/>
        </w:rPr>
      </w:pPr>
      <w:r>
        <w:rPr>
          <w:b/>
          <w:color w:val="0e101a"/>
        </w:rPr>
        <w:t>How the Article promotes understanding of the poem</w:t>
      </w:r>
    </w:p>
    <w:p>
      <w:pPr>
        <w:pStyle w:val="style94"/>
        <w:spacing w:before="0" w:beforeAutospacing="false" w:after="0" w:afterAutospacing="false" w:lineRule="auto" w:line="480"/>
        <w:ind w:firstLine="720"/>
        <w:rPr>
          <w:color w:val="0e101a"/>
        </w:rPr>
      </w:pPr>
      <w:r>
        <w:rPr>
          <w:color w:val="0e101a"/>
        </w:rPr>
        <w:t>Performance, according to Mercier reveals a lot about the Lady and her gender roles in Alfred Tennyson’s poem </w:t>
      </w:r>
      <w:r>
        <w:rPr>
          <w:rStyle w:val="style88"/>
          <w:color w:val="0e101a"/>
        </w:rPr>
        <w:t xml:space="preserve">The Lady of </w:t>
      </w:r>
      <w:r>
        <w:rPr>
          <w:rStyle w:val="style88"/>
          <w:color w:val="0e101a"/>
        </w:rPr>
        <w:t>Shalott</w:t>
      </w:r>
      <w:r>
        <w:rPr>
          <w:color w:val="0e101a"/>
        </w:rPr>
        <w:t>. According to Mercier, defining, and understanding both gender and performance resonates with the two elements of the Victorian period (6). The two elements are how the individual performs and the repetition of the performance (Mercier 6). Gender, according to Mercier, is more than just the natural qualities that can simply be characterized by the biological sexed bodies. Instead, it refers to the individual identity that has been tenaciously constituted over time through a stylized repetition of events and acts (Mercier 6).</w:t>
      </w:r>
    </w:p>
    <w:p>
      <w:pPr>
        <w:pStyle w:val="style94"/>
        <w:spacing w:before="0" w:beforeAutospacing="false" w:after="0" w:afterAutospacing="false" w:lineRule="auto" w:line="480"/>
        <w:ind w:firstLine="720"/>
        <w:rPr>
          <w:color w:val="0e101a"/>
        </w:rPr>
      </w:pPr>
      <w:r>
        <w:rPr>
          <w:color w:val="0e101a"/>
        </w:rPr>
        <w:t xml:space="preserve">According to the article, performance is what helps Tennyson reveals the gender struggle and trouble in the lives of the Lady. According to Mercier, how actions are performed and for what reason they are performed reveals a lot about the lives of the performers (7). The author further points out how Tennyson’s poem, as a piece of art, portrayed the female gender of the Victorian period. According to Mercier, if repetition of performance informs one’s gender, then, it is possible to determine and understand how Victorian females have been repetitively portrayed in the artwork as well as the text that could shed light on the female gender roles (9). Tennyson’s poem portrays what many scholars have remained to ask for many decades about the gender roles in the Victorian period. These concerns include the marginal roles of women in </w:t>
      </w:r>
      <w:r>
        <w:rPr>
          <w:color w:val="0e101a"/>
        </w:rPr>
        <w:t xml:space="preserve">society and the power in the culture that dictated everything that women did. As such, Mercier explains that in order to understand the marginal role of women and the power of the western culture situated within the text, it is important to understand the questions raised by contemporary scholars regarding gender roles. These questions, according to Mercier, can only be answered and the problems solved through understanding the social contexts of the texts and artwork of this period (9). This informs Tennyson’s depiction of women as a system, in which their bodies represent a “text to be worked out and solved by men” (9). </w:t>
      </w:r>
    </w:p>
    <w:p>
      <w:pPr>
        <w:pStyle w:val="style94"/>
        <w:spacing w:before="0" w:beforeAutospacing="false" w:after="0" w:afterAutospacing="false" w:lineRule="auto" w:line="480"/>
        <w:ind w:firstLine="720"/>
        <w:rPr>
          <w:color w:val="0e101a"/>
        </w:rPr>
      </w:pPr>
      <w:r>
        <w:rPr>
          <w:color w:val="0e101a"/>
        </w:rPr>
        <w:t>For the Victorian artists and scholars, females were systematically perceived and the scholars reduced them to avoid the ambiguity that both genders (females and males) feared the most. The poem </w:t>
      </w:r>
      <w:r>
        <w:rPr>
          <w:rStyle w:val="style88"/>
          <w:color w:val="0e101a"/>
        </w:rPr>
        <w:t xml:space="preserve">The Lady of </w:t>
      </w:r>
      <w:r>
        <w:rPr>
          <w:rStyle w:val="style88"/>
          <w:color w:val="0e101a"/>
        </w:rPr>
        <w:t>Shalott</w:t>
      </w:r>
      <w:r>
        <w:rPr>
          <w:color w:val="0e101a"/>
        </w:rPr>
        <w:t> typifies the Victorian scholarly perception of women as a system. The poem depicts the story of a lady imprisoned by a curse in a tower that does not require her to leave. As Mercier explains, Tennyson uses the Lady’s vocal performance (in stanza four) to help the audience interpret the Lady’s appearance. Tennyson shows how men interpret the Lady’s performance while making the tower experience mythical (Mercier 12). According to Mercier, the Lady in the poem is an artist and through her observations, Tennyson depicts the female traits in the poem. Her physical description as the speaker narrates reveals her feminine features that the poet uses to categorically show the Victorian gender perception.</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Siuli</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Shantanu</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 xml:space="preserve">“Conveying the Female death and </w:t>
      </w:r>
      <w:r>
        <w:rPr>
          <w:rFonts w:ascii="Times New Roman" w:cs="Times New Roman" w:hAnsi="Times New Roman"/>
          <w:i/>
          <w:color w:val="222222"/>
          <w:sz w:val="24"/>
          <w:szCs w:val="24"/>
          <w:shd w:val="clear" w:color="auto" w:fill="ffffff"/>
        </w:rPr>
        <w:t>The Lady of shallot</w:t>
      </w:r>
      <w:r>
        <w:rPr>
          <w:rFonts w:ascii="Times New Roman" w:cs="Times New Roman" w:hAnsi="Times New Roman"/>
          <w:color w:val="222222"/>
          <w:sz w:val="24"/>
          <w:szCs w:val="24"/>
          <w:shd w:val="clear" w:color="auto" w:fill="ffffff"/>
        </w:rPr>
        <w:t xml:space="preserve">:” A detailed case study of Browning’s </w:t>
      </w:r>
      <w:r>
        <w:rPr>
          <w:rFonts w:ascii="Times New Roman" w:cs="Times New Roman" w:hAnsi="Times New Roman"/>
          <w:i/>
          <w:color w:val="222222"/>
          <w:sz w:val="24"/>
          <w:szCs w:val="24"/>
          <w:shd w:val="clear" w:color="auto" w:fill="ffffff"/>
        </w:rPr>
        <w:t xml:space="preserve">The Lady of </w:t>
      </w:r>
      <w:r>
        <w:rPr>
          <w:rFonts w:ascii="Times New Roman" w:cs="Times New Roman" w:hAnsi="Times New Roman"/>
          <w:i/>
          <w:color w:val="222222"/>
          <w:sz w:val="24"/>
          <w:szCs w:val="24"/>
          <w:shd w:val="clear" w:color="auto" w:fill="ffffff"/>
        </w:rPr>
        <w:t>Shallott</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r>
        <w:rPr>
          <w:rFonts w:ascii="Times New Roman" w:cs="Times New Roman" w:hAnsi="Times New Roman"/>
          <w:i/>
          <w:color w:val="222222"/>
          <w:sz w:val="24"/>
          <w:szCs w:val="24"/>
          <w:shd w:val="clear" w:color="auto" w:fill="ffffff"/>
        </w:rPr>
        <w:t>An International Refereed English e-Journal</w:t>
      </w:r>
      <w:r>
        <w:rPr>
          <w:rFonts w:ascii="Times New Roman" w:cs="Times New Roman" w:hAnsi="Times New Roman"/>
          <w:color w:val="222222"/>
          <w:sz w:val="24"/>
          <w:szCs w:val="24"/>
          <w:shd w:val="clear" w:color="auto" w:fill="ffffff"/>
        </w:rPr>
        <w:t xml:space="preserve">, 2.4 (March 2017). Accessed from </w:t>
      </w:r>
      <w:r>
        <w:rPr/>
        <w:fldChar w:fldCharType="begin"/>
      </w:r>
      <w:r>
        <w:instrText xml:space="preserve"> HYPERLINK "https://www.academia.edu/35654500/Conveying_the_Female_Death_and_The_Lady_of_Shalott_A_detailed_case_study_of_Brownings_The_Lady_of_Shalott" </w:instrText>
      </w:r>
      <w:r>
        <w:rPr/>
        <w:fldChar w:fldCharType="separate"/>
      </w:r>
      <w:r>
        <w:rPr>
          <w:rStyle w:val="style85"/>
          <w:rFonts w:ascii="Times New Roman" w:cs="Times New Roman" w:hAnsi="Times New Roman"/>
          <w:sz w:val="24"/>
          <w:szCs w:val="24"/>
          <w:shd w:val="clear" w:color="auto" w:fill="ffffff"/>
        </w:rPr>
        <w:t>https://www.academia.edu/35654500/Conveying_the_Female_Death_and_The_Lady_of_Shalott_A_detailed_case_study_of_Brownings_The_Lady_of_Shalott</w:t>
      </w:r>
      <w:r>
        <w:rPr/>
        <w:fldChar w:fldCharType="end"/>
      </w:r>
      <w:r>
        <w:rPr>
          <w:rFonts w:ascii="Times New Roman" w:cs="Times New Roman" w:hAnsi="Times New Roman"/>
          <w:color w:val="222222"/>
          <w:sz w:val="24"/>
          <w:szCs w:val="24"/>
          <w:shd w:val="clear" w:color="auto" w:fill="ffffff"/>
        </w:rPr>
        <w:t xml:space="preserve"> </w:t>
      </w:r>
    </w:p>
    <w:p>
      <w:pPr>
        <w:pStyle w:val="style94"/>
        <w:spacing w:before="0" w:beforeAutospacing="false" w:after="0" w:afterAutospacing="false" w:lineRule="auto" w:line="480"/>
        <w:rPr>
          <w:b/>
          <w:color w:val="0e101a"/>
        </w:rPr>
      </w:pPr>
      <w:r>
        <w:rPr>
          <w:b/>
          <w:color w:val="0e101a"/>
        </w:rPr>
        <w:t>Summary</w:t>
      </w:r>
    </w:p>
    <w:p>
      <w:pPr>
        <w:pStyle w:val="style94"/>
        <w:spacing w:before="0" w:beforeAutospacing="false" w:after="0" w:afterAutospacing="false" w:lineRule="auto" w:line="480"/>
        <w:ind w:firstLine="720"/>
        <w:rPr>
          <w:color w:val="0e101a"/>
        </w:rPr>
      </w:pPr>
      <w:r>
        <w:rPr>
          <w:color w:val="0e101a"/>
        </w:rPr>
        <w:t>This article explains how the poet has conveyed the female death in the poem </w:t>
      </w:r>
      <w:r>
        <w:rPr>
          <w:rStyle w:val="style88"/>
          <w:color w:val="0e101a"/>
        </w:rPr>
        <w:t xml:space="preserve">The Lady of </w:t>
      </w:r>
      <w:r>
        <w:rPr>
          <w:rStyle w:val="style88"/>
          <w:color w:val="0e101a"/>
        </w:rPr>
        <w:t>Shalott</w:t>
      </w:r>
      <w:r>
        <w:rPr>
          <w:color w:val="0e101a"/>
        </w:rPr>
        <w:t xml:space="preserve">. </w:t>
      </w:r>
      <w:r>
        <w:rPr>
          <w:color w:val="0e101a"/>
        </w:rPr>
        <w:t>Siuli</w:t>
      </w:r>
      <w:r>
        <w:rPr>
          <w:color w:val="0e101a"/>
        </w:rPr>
        <w:t xml:space="preserve"> defines the notion of female identity and relates it to the Victorian age. Using Tennyson’s poem, </w:t>
      </w:r>
      <w:r>
        <w:rPr>
          <w:rStyle w:val="style88"/>
          <w:color w:val="0e101a"/>
        </w:rPr>
        <w:t xml:space="preserve">The Lady of </w:t>
      </w:r>
      <w:r>
        <w:rPr>
          <w:rStyle w:val="style88"/>
          <w:color w:val="0e101a"/>
        </w:rPr>
        <w:t>Shalott</w:t>
      </w:r>
      <w:r>
        <w:rPr>
          <w:color w:val="0e101a"/>
        </w:rPr>
        <w:t xml:space="preserve">, </w:t>
      </w:r>
      <w:r>
        <w:rPr>
          <w:color w:val="0e101a"/>
        </w:rPr>
        <w:t>Siuli</w:t>
      </w:r>
      <w:r>
        <w:rPr>
          <w:color w:val="0e101a"/>
        </w:rPr>
        <w:t xml:space="preserve"> explores how the poet has vividly depicted the status of the female gender and embodiment with a stylistic approach of beauty as well as a deep projection of ignorance. The article begins with a brief overview of the poem and how Tennyson has added multiple elements in the story to make it different from the Arthurian legend. Like the previous article, this article asserts that Tennyson’s poem resonates with the Arthurian legend of Elaine of </w:t>
      </w:r>
      <w:r>
        <w:rPr>
          <w:color w:val="0e101a"/>
        </w:rPr>
        <w:t>Astolat</w:t>
      </w:r>
      <w:r>
        <w:rPr>
          <w:color w:val="0e101a"/>
        </w:rPr>
        <w:t xml:space="preserve">, but the poet has added other elements that were not present in Arthurian legend to make it unique and distinct. The article further provides an overview of the Victorian age and key features that defined this period. The main focus of this period, as discussed in the article involves the gender roles of women and societal perception. </w:t>
      </w:r>
      <w:r>
        <w:rPr>
          <w:color w:val="0e101a"/>
        </w:rPr>
        <w:t>Siuli</w:t>
      </w:r>
      <w:r>
        <w:rPr>
          <w:color w:val="0e101a"/>
        </w:rPr>
        <w:t xml:space="preserve"> describes the roles that were associated with the female gender in the Victorian age.</w:t>
      </w:r>
    </w:p>
    <w:p>
      <w:pPr>
        <w:pStyle w:val="style94"/>
        <w:spacing w:before="0" w:beforeAutospacing="false" w:after="0" w:afterAutospacing="false" w:lineRule="auto" w:line="480"/>
        <w:ind w:firstLine="720"/>
        <w:rPr>
          <w:color w:val="0e101a"/>
        </w:rPr>
      </w:pPr>
      <w:r>
        <w:rPr>
          <w:color w:val="0e101a"/>
        </w:rPr>
        <w:t xml:space="preserve">The poem further provides an analysis of Tennyson’s poem based on the Victorian and </w:t>
      </w:r>
      <w:r>
        <w:rPr>
          <w:color w:val="0e101a"/>
        </w:rPr>
        <w:t>pre-raphaelite</w:t>
      </w:r>
      <w:r>
        <w:rPr>
          <w:color w:val="0e101a"/>
        </w:rPr>
        <w:t xml:space="preserve"> perspective. The article shows how Tennyson’s description and narration of the Lady’s predicament resonate with the pre-Raphaelite artist perspective. The article looks at how Tennyson’s use of imagery and diction creates a feeling of action or performance in the poem. Through this performance, the article points out how the poet reveals the veil of ignorance that characterizes the Lady in the poem.</w:t>
      </w:r>
    </w:p>
    <w:p>
      <w:pPr>
        <w:pStyle w:val="style94"/>
        <w:spacing w:before="0" w:beforeAutospacing="false" w:after="0" w:afterAutospacing="false" w:lineRule="auto" w:line="480"/>
        <w:rPr>
          <w:b/>
          <w:color w:val="0e101a"/>
        </w:rPr>
      </w:pPr>
      <w:r>
        <w:rPr>
          <w:b/>
          <w:color w:val="0e101a"/>
        </w:rPr>
        <w:t>How the Article promotes understanding of the poem</w:t>
      </w:r>
    </w:p>
    <w:p>
      <w:pPr>
        <w:pStyle w:val="style94"/>
        <w:spacing w:before="0" w:beforeAutospacing="false" w:after="0" w:afterAutospacing="false" w:lineRule="auto" w:line="480"/>
        <w:ind w:firstLine="720"/>
        <w:rPr>
          <w:color w:val="0e101a"/>
        </w:rPr>
      </w:pPr>
      <w:r>
        <w:rPr>
          <w:color w:val="0e101a"/>
        </w:rPr>
        <w:t xml:space="preserve">According to </w:t>
      </w:r>
      <w:r>
        <w:rPr>
          <w:color w:val="0e101a"/>
        </w:rPr>
        <w:t>Siuli</w:t>
      </w:r>
      <w:r>
        <w:rPr>
          <w:color w:val="0e101a"/>
        </w:rPr>
        <w:t xml:space="preserve">, imagery, and diction, are the key components that Tennyson has used in the poem to depict the gender roles and perception of the Victorian age. Even though the poem takes the form of Arthurian texts like the legend of Elaine, Tennyson has tried to add some </w:t>
      </w:r>
      <w:r>
        <w:rPr>
          <w:color w:val="0e101a"/>
        </w:rPr>
        <w:t>elements that were not present in the Arthurian legend to make the text original and suitable for the Victorian period.</w:t>
      </w:r>
    </w:p>
    <w:p>
      <w:pPr>
        <w:pStyle w:val="style94"/>
        <w:spacing w:before="0" w:beforeAutospacing="false" w:after="0" w:afterAutospacing="false" w:lineRule="auto" w:line="480"/>
        <w:ind w:firstLine="720"/>
        <w:rPr>
          <w:color w:val="0e101a"/>
        </w:rPr>
      </w:pPr>
      <w:r>
        <w:rPr>
          <w:color w:val="0e101a"/>
        </w:rPr>
        <w:t>The Victorian period is considered to be one of the most successful and prosperous eras in the history of mankind. This is because it was realized with the shift of gender roles, which formed most parts of artwork and scholarly works. Tennyson’s poem </w:t>
      </w:r>
      <w:r>
        <w:rPr>
          <w:rStyle w:val="style88"/>
          <w:color w:val="0e101a"/>
        </w:rPr>
        <w:t xml:space="preserve">The Lady of </w:t>
      </w:r>
      <w:r>
        <w:rPr>
          <w:rStyle w:val="style88"/>
          <w:color w:val="0e101a"/>
        </w:rPr>
        <w:t>Shalott</w:t>
      </w:r>
      <w:r>
        <w:rPr>
          <w:color w:val="0e101a"/>
        </w:rPr>
        <w:t> is derived from the inspirations of the Victorian women who engaged in needlework as they pursue their dreams and freedom (</w:t>
      </w:r>
      <w:r>
        <w:rPr>
          <w:color w:val="0e101a"/>
        </w:rPr>
        <w:t>Siuli</w:t>
      </w:r>
      <w:r>
        <w:rPr>
          <w:color w:val="0e101a"/>
        </w:rPr>
        <w:t xml:space="preserve"> 719). Tennyson’s poem is described as a Victorian lyrical ballad because of the content and concepts inspired by the women of this period. The Lady, in the poem, is in isolation from the rest of the </w:t>
      </w:r>
      <w:r>
        <w:rPr>
          <w:color w:val="0e101a"/>
        </w:rPr>
        <w:t>world;</w:t>
      </w:r>
      <w:r>
        <w:rPr>
          <w:color w:val="0e101a"/>
        </w:rPr>
        <w:t xml:space="preserve"> she engages in magical weaving and has been imprisoned by a mysterious curse (</w:t>
      </w:r>
      <w:r>
        <w:rPr>
          <w:color w:val="0e101a"/>
        </w:rPr>
        <w:t>Siuli</w:t>
      </w:r>
      <w:r>
        <w:rPr>
          <w:color w:val="0e101a"/>
        </w:rPr>
        <w:t xml:space="preserve"> 719).</w:t>
      </w:r>
    </w:p>
    <w:p>
      <w:pPr>
        <w:pStyle w:val="style94"/>
        <w:spacing w:before="0" w:beforeAutospacing="false" w:after="0" w:afterAutospacing="false" w:lineRule="auto" w:line="480"/>
        <w:ind w:firstLine="720"/>
        <w:rPr>
          <w:color w:val="0e101a"/>
        </w:rPr>
      </w:pPr>
      <w:r>
        <w:rPr>
          <w:color w:val="0e101a"/>
        </w:rPr>
        <w:t xml:space="preserve">Tennyson’s imagery and diction, especially in the first parts of the poem creates the feeling of performance, which resonates with Arthurian literature, while the veil of ignorance of the Lady about her curse adds to the elements that make the poem Victorian and not Arthurian era. According to </w:t>
      </w:r>
      <w:r>
        <w:rPr>
          <w:color w:val="0e101a"/>
        </w:rPr>
        <w:t>Siuli</w:t>
      </w:r>
      <w:r>
        <w:rPr>
          <w:color w:val="0e101a"/>
        </w:rPr>
        <w:t>, the Lady, in Tennyson’s poem is “embowered in the tower, completely motionless” and not engaged with the rest of the world (721).</w:t>
      </w:r>
    </w:p>
    <w:p>
      <w:pPr>
        <w:pStyle w:val="style94"/>
        <w:spacing w:before="0" w:beforeAutospacing="false" w:after="0" w:afterAutospacing="false" w:lineRule="auto" w:line="480"/>
        <w:ind w:firstLine="720"/>
        <w:rPr>
          <w:color w:val="0e101a"/>
        </w:rPr>
      </w:pPr>
      <w:r>
        <w:rPr>
          <w:color w:val="0e101a"/>
        </w:rPr>
        <w:t xml:space="preserve">The setting of the poem also sets a binary of motion and immobility, which further reveals the tension that the Lady exists in. Tennyson’s poem uses Victorian ere male attitudes to reveal how the perception of women was highly complex. </w:t>
      </w:r>
      <w:r>
        <w:rPr>
          <w:color w:val="0e101a"/>
        </w:rPr>
        <w:t>Siuli</w:t>
      </w:r>
      <w:r>
        <w:rPr>
          <w:color w:val="0e101a"/>
        </w:rPr>
        <w:t xml:space="preserve"> explains that even though male perception about women was highly complex, the difference between male artists’ attitudes towards the lady in the poem is the most striking one (721). The poem depicts the lady’s position as an object meant to fulfill men’s desires. </w:t>
      </w:r>
      <w:r>
        <w:rPr>
          <w:color w:val="0e101a"/>
        </w:rPr>
        <w:t>Siuli</w:t>
      </w:r>
      <w:r>
        <w:rPr>
          <w:color w:val="0e101a"/>
        </w:rPr>
        <w:t xml:space="preserve"> further explains how Tennyson has used imagery and diction to depict how the lady has been idealized and sensually characterized (721). She has been described as mysterious, beautiful, pure, and unattainable (</w:t>
      </w:r>
      <w:r>
        <w:rPr>
          <w:color w:val="0e101a"/>
        </w:rPr>
        <w:t>Siuli</w:t>
      </w:r>
      <w:r>
        <w:rPr>
          <w:color w:val="0e101a"/>
        </w:rPr>
        <w:t xml:space="preserve"> 721). The lady’s position as </w:t>
      </w:r>
      <w:r>
        <w:rPr>
          <w:color w:val="0e101a"/>
        </w:rPr>
        <w:t xml:space="preserve">an object of desire reveals her supreme desirability, which according to </w:t>
      </w:r>
      <w:r>
        <w:rPr>
          <w:color w:val="0e101a"/>
        </w:rPr>
        <w:t>Siuli</w:t>
      </w:r>
      <w:r>
        <w:rPr>
          <w:color w:val="0e101a"/>
        </w:rPr>
        <w:t>, depicts her perception from a male perspective of the Victorian age (721).</w:t>
      </w:r>
    </w:p>
    <w:p>
      <w:pPr>
        <w:pStyle w:val="style94"/>
        <w:spacing w:before="0" w:beforeAutospacing="false" w:after="0" w:afterAutospacing="false" w:lineRule="auto" w:line="480"/>
        <w:ind w:firstLine="720"/>
        <w:rPr>
          <w:color w:val="0e101a"/>
        </w:rPr>
      </w:pPr>
      <w:r>
        <w:rPr>
          <w:color w:val="0e101a"/>
        </w:rPr>
        <w:t xml:space="preserve">Based on the Pre-Raphaelite artist’s perspective, </w:t>
      </w:r>
      <w:r>
        <w:rPr>
          <w:color w:val="0e101a"/>
        </w:rPr>
        <w:t>Siuli</w:t>
      </w:r>
      <w:r>
        <w:rPr>
          <w:color w:val="0e101a"/>
        </w:rPr>
        <w:t xml:space="preserve"> further explains how Tennyson’s poem is intriguing as the poet opens the poem with a description of a beautiful environment. According to </w:t>
      </w:r>
      <w:r>
        <w:rPr>
          <w:color w:val="0e101a"/>
        </w:rPr>
        <w:t>Siuli</w:t>
      </w:r>
      <w:r>
        <w:rPr>
          <w:color w:val="0e101a"/>
        </w:rPr>
        <w:t>, Tennyson’s description not only sets an atmosphere of mystery in the poem but also shows how Victorian scholars were “eager to express the images of their imaginations” (719). Tennyson’s description of the beautiful island where the lady is imprisoned reveals the contrast between the two worlds, outside the tower and inside where the lady is imprisoned.</w:t>
      </w:r>
      <w:bookmarkStart w:id="0" w:name="_GoBack"/>
      <w:bookmarkEnd w:id="0"/>
    </w:p>
    <w:p>
      <w:pPr>
        <w:pStyle w:val="style0"/>
        <w:spacing w:after="0" w:lineRule="auto" w:line="480"/>
        <w:ind w:firstLine="72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698936d-dac3-4249-901d-d64536538d3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da5068f-b88d-4101-aadc-f4f8acd66757"/>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1596</Words>
  <Pages>6</Pages>
  <Characters>8427</Characters>
  <Application>WPS Office</Application>
  <DocSecurity>0</DocSecurity>
  <Paragraphs>25</Paragraphs>
  <ScaleCrop>false</ScaleCrop>
  <LinksUpToDate>false</LinksUpToDate>
  <CharactersWithSpaces>10007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2020-11-26T11:55:52Z</dcterms:created>
  <dc:creator>acer</dc:creator>
  <lastModifiedBy>SM-A515F</lastModifiedBy>
  <dcterms:modified xsi:type="dcterms:W3CDTF">2020-11-26T11:55:52Z</dcterms:modified>
  <revision>1</revision>
</coreProperties>
</file>

<file path=docProps/custom.xml><?xml version="1.0" encoding="utf-8"?>
<Properties xmlns="http://schemas.openxmlformats.org/officeDocument/2006/custom-properties" xmlns:vt="http://schemas.openxmlformats.org/officeDocument/2006/docPropsVTypes"/>
</file>